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11" w:rsidRDefault="00141111" w:rsidP="00141111">
      <w:pPr>
        <w:pStyle w:val="a3"/>
        <w:spacing w:before="22"/>
        <w:ind w:left="148"/>
      </w:pPr>
      <w:r>
        <w:rPr>
          <w:color w:val="36363C"/>
          <w:w w:val="95"/>
        </w:rPr>
        <w:t>附件</w:t>
      </w:r>
      <w:r>
        <w:rPr>
          <w:color w:val="36363C"/>
          <w:spacing w:val="-31"/>
          <w:w w:val="95"/>
        </w:rPr>
        <w:t xml:space="preserve"> </w:t>
      </w:r>
      <w:r>
        <w:rPr>
          <w:color w:val="36363C"/>
          <w:spacing w:val="-5"/>
          <w:w w:val="95"/>
        </w:rPr>
        <w:t>2：</w:t>
      </w:r>
    </w:p>
    <w:p w:rsidR="00141111" w:rsidRDefault="00141111" w:rsidP="00141111">
      <w:pPr>
        <w:spacing w:line="520" w:lineRule="exact"/>
        <w:jc w:val="center"/>
        <w:rPr>
          <w:rFonts w:ascii="方正小标宋_GBK" w:eastAsia="方正小标宋_GBK" w:hAnsi="宋体"/>
          <w:color w:val="000000"/>
          <w:sz w:val="36"/>
          <w:szCs w:val="36"/>
        </w:rPr>
      </w:pPr>
      <w:bookmarkStart w:id="0" w:name="OLE_LINK1"/>
      <w:bookmarkStart w:id="1" w:name="OLE_LINK2"/>
      <w:bookmarkStart w:id="2" w:name="_GoBack"/>
      <w:r>
        <w:rPr>
          <w:rFonts w:ascii="方正小标宋_GBK" w:eastAsia="方正小标宋_GBK" w:hAnsi="宋体" w:hint="eastAsia"/>
          <w:color w:val="000000"/>
          <w:sz w:val="36"/>
          <w:szCs w:val="36"/>
        </w:rPr>
        <w:t>巢湖学院二级学院学生会考评评分细则</w:t>
      </w:r>
    </w:p>
    <w:bookmarkEnd w:id="0"/>
    <w:bookmarkEnd w:id="1"/>
    <w:bookmarkEnd w:id="2"/>
    <w:p w:rsidR="00141111" w:rsidRDefault="00141111" w:rsidP="00141111">
      <w:pPr>
        <w:spacing w:line="200" w:lineRule="exact"/>
        <w:jc w:val="center"/>
        <w:rPr>
          <w:rFonts w:ascii="方正小标宋_GBK" w:eastAsia="方正小标宋_GBK" w:hAnsi="宋体"/>
          <w:color w:val="000000"/>
          <w:sz w:val="36"/>
          <w:szCs w:val="36"/>
        </w:rPr>
      </w:pPr>
    </w:p>
    <w:tbl>
      <w:tblPr>
        <w:tblStyle w:val="a5"/>
        <w:tblW w:w="10108" w:type="dxa"/>
        <w:jc w:val="center"/>
        <w:tblLayout w:type="fixed"/>
        <w:tblLook w:val="04A0" w:firstRow="1" w:lastRow="0" w:firstColumn="1" w:lastColumn="0" w:noHBand="0" w:noVBand="1"/>
      </w:tblPr>
      <w:tblGrid>
        <w:gridCol w:w="731"/>
        <w:gridCol w:w="2118"/>
        <w:gridCol w:w="2323"/>
        <w:gridCol w:w="2904"/>
        <w:gridCol w:w="2032"/>
      </w:tblGrid>
      <w:tr w:rsidR="00141111" w:rsidTr="00374276">
        <w:trPr>
          <w:trHeight w:val="471"/>
          <w:jc w:val="center"/>
        </w:trPr>
        <w:tc>
          <w:tcPr>
            <w:tcW w:w="731" w:type="dxa"/>
            <w:vAlign w:val="center"/>
          </w:tcPr>
          <w:p w:rsidR="00141111" w:rsidRDefault="00141111" w:rsidP="00374276">
            <w:pPr>
              <w:jc w:val="center"/>
              <w:rPr>
                <w:rFonts w:ascii="方正黑体_GBK" w:eastAsia="方正黑体_GBK"/>
                <w:color w:val="000000"/>
                <w:sz w:val="24"/>
                <w:szCs w:val="24"/>
              </w:rPr>
            </w:pPr>
            <w:r>
              <w:rPr>
                <w:rFonts w:ascii="方正黑体_GBK" w:eastAsia="方正黑体_GBK" w:hint="eastAsia"/>
                <w:color w:val="000000"/>
                <w:sz w:val="24"/>
                <w:szCs w:val="24"/>
              </w:rPr>
              <w:t>序号</w:t>
            </w:r>
          </w:p>
        </w:tc>
        <w:tc>
          <w:tcPr>
            <w:tcW w:w="2118" w:type="dxa"/>
            <w:vAlign w:val="center"/>
          </w:tcPr>
          <w:p w:rsidR="00141111" w:rsidRDefault="00141111" w:rsidP="00374276">
            <w:pPr>
              <w:jc w:val="center"/>
              <w:rPr>
                <w:rFonts w:ascii="方正黑体_GBK" w:eastAsia="方正黑体_GBK"/>
                <w:color w:val="000000"/>
                <w:sz w:val="24"/>
                <w:szCs w:val="24"/>
              </w:rPr>
            </w:pPr>
            <w:r>
              <w:rPr>
                <w:rFonts w:ascii="方正黑体_GBK" w:eastAsia="方正黑体_GBK" w:hint="eastAsia"/>
                <w:color w:val="000000"/>
                <w:sz w:val="24"/>
                <w:szCs w:val="24"/>
              </w:rPr>
              <w:t>一级指标</w:t>
            </w:r>
          </w:p>
        </w:tc>
        <w:tc>
          <w:tcPr>
            <w:tcW w:w="2323" w:type="dxa"/>
            <w:vAlign w:val="center"/>
          </w:tcPr>
          <w:p w:rsidR="00141111" w:rsidRDefault="00141111" w:rsidP="00374276">
            <w:pPr>
              <w:jc w:val="center"/>
              <w:rPr>
                <w:rFonts w:ascii="方正黑体_GBK" w:eastAsia="方正黑体_GBK"/>
                <w:color w:val="000000"/>
                <w:sz w:val="24"/>
                <w:szCs w:val="24"/>
              </w:rPr>
            </w:pPr>
            <w:r>
              <w:rPr>
                <w:rFonts w:ascii="方正黑体_GBK" w:eastAsia="方正黑体_GBK" w:hint="eastAsia"/>
                <w:color w:val="000000"/>
                <w:sz w:val="24"/>
                <w:szCs w:val="24"/>
              </w:rPr>
              <w:t>二级指标</w:t>
            </w:r>
          </w:p>
        </w:tc>
        <w:tc>
          <w:tcPr>
            <w:tcW w:w="2904" w:type="dxa"/>
            <w:vAlign w:val="center"/>
          </w:tcPr>
          <w:p w:rsidR="00141111" w:rsidRDefault="00141111" w:rsidP="00374276">
            <w:pPr>
              <w:jc w:val="center"/>
              <w:rPr>
                <w:rFonts w:ascii="方正黑体_GBK" w:eastAsia="方正黑体_GBK"/>
                <w:color w:val="000000"/>
                <w:sz w:val="24"/>
                <w:szCs w:val="24"/>
              </w:rPr>
            </w:pPr>
            <w:r>
              <w:rPr>
                <w:rFonts w:ascii="方正黑体_GBK" w:eastAsia="方正黑体_GBK" w:hint="eastAsia"/>
                <w:color w:val="000000"/>
                <w:sz w:val="24"/>
                <w:szCs w:val="24"/>
              </w:rPr>
              <w:t>三级指标</w:t>
            </w:r>
          </w:p>
        </w:tc>
        <w:tc>
          <w:tcPr>
            <w:tcW w:w="2032" w:type="dxa"/>
            <w:vAlign w:val="center"/>
          </w:tcPr>
          <w:p w:rsidR="00141111" w:rsidRDefault="00141111" w:rsidP="00374276">
            <w:pPr>
              <w:jc w:val="center"/>
              <w:rPr>
                <w:rFonts w:ascii="方正黑体_GBK" w:eastAsia="方正黑体_GBK"/>
                <w:color w:val="000000"/>
                <w:sz w:val="24"/>
                <w:szCs w:val="24"/>
              </w:rPr>
            </w:pPr>
            <w:r>
              <w:rPr>
                <w:rFonts w:ascii="方正小标宋_GBK" w:eastAsia="方正小标宋_GBK" w:hAnsi="微软雅黑" w:cs="宋体" w:hint="eastAsia"/>
                <w:color w:val="000000"/>
                <w:sz w:val="24"/>
                <w:szCs w:val="24"/>
              </w:rPr>
              <w:t>材料要求</w:t>
            </w:r>
          </w:p>
        </w:tc>
      </w:tr>
      <w:tr w:rsidR="00141111" w:rsidTr="00374276">
        <w:trPr>
          <w:trHeight w:hRule="exact" w:val="2324"/>
          <w:jc w:val="center"/>
        </w:trPr>
        <w:tc>
          <w:tcPr>
            <w:tcW w:w="731" w:type="dxa"/>
            <w:vMerge w:val="restart"/>
            <w:vAlign w:val="center"/>
          </w:tcPr>
          <w:p w:rsidR="00141111" w:rsidRDefault="00141111" w:rsidP="00374276">
            <w:pPr>
              <w:jc w:val="center"/>
              <w:rPr>
                <w:rFonts w:ascii="方正黑体_GBK" w:eastAsia="方正黑体_GBK"/>
                <w:color w:val="000000"/>
                <w:sz w:val="28"/>
                <w:szCs w:val="28"/>
              </w:rPr>
            </w:pPr>
            <w:r>
              <w:rPr>
                <w:rFonts w:ascii="方正黑体_GBK" w:eastAsia="方正黑体_GBK" w:hint="eastAsia"/>
                <w:color w:val="000000"/>
                <w:sz w:val="28"/>
                <w:szCs w:val="28"/>
              </w:rPr>
              <w:t>1</w:t>
            </w:r>
          </w:p>
        </w:tc>
        <w:tc>
          <w:tcPr>
            <w:tcW w:w="2118" w:type="dxa"/>
            <w:vMerge w:val="restart"/>
            <w:vAlign w:val="center"/>
          </w:tcPr>
          <w:p w:rsidR="00141111" w:rsidRDefault="00141111" w:rsidP="00374276">
            <w:pPr>
              <w:pStyle w:val="TableParagraph"/>
              <w:ind w:right="233"/>
              <w:jc w:val="center"/>
              <w:rPr>
                <w:rFonts w:ascii="方正黑体_GBK" w:eastAsia="方正黑体_GBK"/>
                <w:b/>
                <w:sz w:val="24"/>
              </w:rPr>
            </w:pPr>
            <w:r>
              <w:rPr>
                <w:rFonts w:ascii="方正黑体_GBK" w:eastAsia="方正黑体_GBK" w:hint="eastAsia"/>
                <w:b/>
                <w:w w:val="95"/>
                <w:sz w:val="24"/>
              </w:rPr>
              <w:t xml:space="preserve">  思想政治引</w:t>
            </w:r>
            <w:r>
              <w:rPr>
                <w:rFonts w:ascii="方正黑体_GBK" w:eastAsia="方正黑体_GBK" w:hint="eastAsia"/>
                <w:b/>
                <w:spacing w:val="-10"/>
                <w:w w:val="95"/>
                <w:sz w:val="24"/>
              </w:rPr>
              <w:t>领</w:t>
            </w:r>
          </w:p>
          <w:p w:rsidR="00141111" w:rsidRDefault="00141111" w:rsidP="00374276">
            <w:pPr>
              <w:pStyle w:val="TableParagraph"/>
              <w:spacing w:before="15"/>
              <w:jc w:val="center"/>
              <w:rPr>
                <w:rFonts w:ascii="方正小标宋_GBK"/>
                <w:b/>
                <w:sz w:val="13"/>
              </w:rPr>
            </w:pPr>
          </w:p>
          <w:p w:rsidR="00141111" w:rsidRDefault="00141111" w:rsidP="00374276">
            <w:pPr>
              <w:pStyle w:val="TableParagraph"/>
              <w:spacing w:before="1"/>
              <w:ind w:left="243" w:right="233"/>
              <w:jc w:val="center"/>
              <w:rPr>
                <w:rFonts w:ascii="方正黑体_GBK" w:eastAsia="方正黑体_GBK"/>
                <w:color w:val="000000"/>
                <w:sz w:val="24"/>
                <w:szCs w:val="24"/>
              </w:rPr>
            </w:pPr>
            <w:r>
              <w:rPr>
                <w:rFonts w:ascii="方正黑体_GBK" w:eastAsia="方正黑体_GBK" w:hint="eastAsia"/>
                <w:b/>
                <w:sz w:val="24"/>
              </w:rPr>
              <w:t>（18</w:t>
            </w:r>
            <w:r>
              <w:rPr>
                <w:rFonts w:ascii="方正黑体_GBK" w:eastAsia="方正黑体_GBK" w:hint="eastAsia"/>
                <w:b/>
                <w:spacing w:val="-6"/>
                <w:sz w:val="24"/>
              </w:rPr>
              <w:t xml:space="preserve"> 分</w:t>
            </w:r>
            <w:r>
              <w:rPr>
                <w:rFonts w:ascii="方正黑体_GBK" w:eastAsia="方正黑体_GBK" w:hint="eastAsia"/>
                <w:b/>
                <w:spacing w:val="-10"/>
                <w:sz w:val="24"/>
              </w:rPr>
              <w:t>）</w:t>
            </w: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（1）高度重视学生会工作人员的思想政治引领，开展教育活动。（12分）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学习贯彻习近平新时代中国特色社会主义思想、党的二十届三中全会精神</w:t>
            </w:r>
            <w:r>
              <w:rPr>
                <w:rFonts w:hint="eastAsia"/>
                <w:w w:val="99"/>
              </w:rPr>
              <w:t>和习近平总书记考察安徽重要讲话精神的</w:t>
            </w:r>
            <w:r>
              <w:rPr>
                <w:rFonts w:hint="eastAsia"/>
                <w:spacing w:val="-2"/>
                <w:sz w:val="21"/>
                <w:szCs w:val="21"/>
              </w:rPr>
              <w:t>开展情况。有相应活动过程材料及总结。（计2分/次）</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kern w:val="2"/>
                <w:sz w:val="21"/>
                <w:szCs w:val="21"/>
              </w:rPr>
              <w:t>提供印证材料</w:t>
            </w:r>
          </w:p>
        </w:tc>
      </w:tr>
      <w:tr w:rsidR="00141111" w:rsidTr="00374276">
        <w:trPr>
          <w:trHeight w:hRule="exact" w:val="2154"/>
          <w:jc w:val="center"/>
        </w:trPr>
        <w:tc>
          <w:tcPr>
            <w:tcW w:w="731" w:type="dxa"/>
            <w:vMerge/>
          </w:tcPr>
          <w:p w:rsidR="00141111" w:rsidRDefault="00141111" w:rsidP="00374276">
            <w:pPr>
              <w:rPr>
                <w:rFonts w:ascii="方正黑体_GBK" w:eastAsia="方正黑体_GBK" w:hAnsi="仿宋" w:cs="仿宋"/>
                <w:color w:val="000000"/>
                <w:sz w:val="28"/>
                <w:szCs w:val="28"/>
              </w:rPr>
            </w:pPr>
          </w:p>
        </w:tc>
        <w:tc>
          <w:tcPr>
            <w:tcW w:w="2118" w:type="dxa"/>
            <w:vMerge/>
          </w:tcPr>
          <w:p w:rsidR="00141111" w:rsidRDefault="00141111" w:rsidP="00374276">
            <w:pPr>
              <w:rPr>
                <w:rFonts w:ascii="方正黑体_GBK" w:eastAsia="方正黑体_GBK" w:hAnsi="仿宋" w:cs="仿宋"/>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（2）积极配合开展思想政治引领活动。（6分）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依据《习近平与大学生朋友们》读书班学员出勤情况、征文数量、平时表现对各学院进行等级评定。（一级6分、二级5分、三级4分，合计6分）</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sz w:val="21"/>
                <w:szCs w:val="21"/>
              </w:rPr>
              <w:t>依据工作台账</w:t>
            </w:r>
          </w:p>
        </w:tc>
      </w:tr>
      <w:tr w:rsidR="00141111" w:rsidTr="00374276">
        <w:trPr>
          <w:trHeight w:val="2824"/>
          <w:jc w:val="center"/>
        </w:trPr>
        <w:tc>
          <w:tcPr>
            <w:tcW w:w="731" w:type="dxa"/>
            <w:vMerge w:val="restart"/>
            <w:vAlign w:val="center"/>
          </w:tcPr>
          <w:p w:rsidR="00141111" w:rsidRDefault="00141111" w:rsidP="00374276">
            <w:pPr>
              <w:jc w:val="center"/>
              <w:rPr>
                <w:rFonts w:ascii="方正黑体_GBK" w:eastAsia="方正黑体_GBK"/>
                <w:color w:val="000000"/>
                <w:sz w:val="28"/>
                <w:szCs w:val="28"/>
              </w:rPr>
            </w:pPr>
            <w:r>
              <w:rPr>
                <w:rFonts w:ascii="方正黑体_GBK" w:eastAsia="方正黑体_GBK" w:hint="eastAsia"/>
                <w:color w:val="000000"/>
                <w:sz w:val="28"/>
                <w:szCs w:val="28"/>
              </w:rPr>
              <w:t>2</w:t>
            </w:r>
          </w:p>
        </w:tc>
        <w:tc>
          <w:tcPr>
            <w:tcW w:w="2118" w:type="dxa"/>
            <w:vMerge w:val="restart"/>
            <w:vAlign w:val="center"/>
          </w:tcPr>
          <w:p w:rsidR="00141111" w:rsidRDefault="00141111" w:rsidP="00374276">
            <w:pPr>
              <w:pStyle w:val="TableParagraph"/>
              <w:ind w:right="233"/>
              <w:jc w:val="center"/>
              <w:rPr>
                <w:rFonts w:ascii="方正黑体_GBK" w:eastAsia="方正黑体_GBK"/>
                <w:b/>
                <w:sz w:val="24"/>
              </w:rPr>
            </w:pPr>
            <w:r>
              <w:rPr>
                <w:rFonts w:ascii="方正黑体_GBK" w:eastAsia="方正黑体_GBK" w:hint="eastAsia"/>
                <w:b/>
                <w:w w:val="95"/>
                <w:sz w:val="24"/>
              </w:rPr>
              <w:t xml:space="preserve">  组织机构建</w:t>
            </w:r>
            <w:r>
              <w:rPr>
                <w:rFonts w:ascii="方正黑体_GBK" w:eastAsia="方正黑体_GBK" w:hint="eastAsia"/>
                <w:b/>
                <w:spacing w:val="-10"/>
                <w:w w:val="95"/>
                <w:sz w:val="24"/>
              </w:rPr>
              <w:t>设</w:t>
            </w:r>
          </w:p>
          <w:p w:rsidR="00141111" w:rsidRDefault="00141111" w:rsidP="00374276">
            <w:pPr>
              <w:pStyle w:val="TableParagraph"/>
              <w:spacing w:before="15"/>
              <w:jc w:val="center"/>
              <w:rPr>
                <w:rFonts w:ascii="方正小标宋_GBK"/>
                <w:b/>
                <w:sz w:val="13"/>
              </w:rPr>
            </w:pPr>
          </w:p>
          <w:p w:rsidR="00141111" w:rsidRDefault="00141111" w:rsidP="00374276">
            <w:pPr>
              <w:pStyle w:val="TableParagraph"/>
              <w:spacing w:before="1"/>
              <w:ind w:left="243" w:right="233"/>
              <w:jc w:val="center"/>
              <w:rPr>
                <w:rFonts w:ascii="方正黑体_GBK" w:eastAsia="方正楷体_GBK"/>
                <w:color w:val="000000"/>
                <w:sz w:val="24"/>
                <w:szCs w:val="24"/>
              </w:rPr>
            </w:pPr>
            <w:r>
              <w:rPr>
                <w:rFonts w:ascii="方正黑体_GBK" w:eastAsia="方正黑体_GBK" w:hint="eastAsia"/>
                <w:b/>
                <w:sz w:val="24"/>
              </w:rPr>
              <w:t>（40</w:t>
            </w:r>
            <w:r>
              <w:rPr>
                <w:rFonts w:ascii="方正黑体_GBK" w:eastAsia="方正黑体_GBK" w:hint="eastAsia"/>
                <w:b/>
                <w:spacing w:val="-6"/>
                <w:sz w:val="24"/>
              </w:rPr>
              <w:t xml:space="preserve"> 分</w:t>
            </w:r>
            <w:r>
              <w:rPr>
                <w:rFonts w:ascii="方正黑体_GBK" w:eastAsia="方正黑体_GBK" w:hint="eastAsia"/>
                <w:b/>
                <w:spacing w:val="-10"/>
                <w:sz w:val="24"/>
              </w:rPr>
              <w:t>）</w:t>
            </w:r>
          </w:p>
        </w:tc>
        <w:tc>
          <w:tcPr>
            <w:tcW w:w="2323" w:type="dxa"/>
            <w:vAlign w:val="center"/>
          </w:tcPr>
          <w:p w:rsidR="00141111" w:rsidRDefault="00141111" w:rsidP="00374276">
            <w:pPr>
              <w:rPr>
                <w:rFonts w:ascii="宋体" w:eastAsia="宋体" w:hAnsi="宋体" w:cs="宋体"/>
                <w:spacing w:val="-2"/>
                <w:sz w:val="21"/>
                <w:szCs w:val="21"/>
              </w:rPr>
            </w:pPr>
            <w:r>
              <w:rPr>
                <w:rFonts w:ascii="宋体" w:eastAsia="宋体" w:hAnsi="宋体" w:cs="宋体" w:hint="eastAsia"/>
                <w:spacing w:val="-2"/>
                <w:sz w:val="21"/>
                <w:szCs w:val="21"/>
              </w:rPr>
              <w:t>（1）把牢政治方向。（8分）</w:t>
            </w:r>
          </w:p>
        </w:tc>
        <w:tc>
          <w:tcPr>
            <w:tcW w:w="2904" w:type="dxa"/>
            <w:vAlign w:val="center"/>
          </w:tcPr>
          <w:p w:rsidR="00141111" w:rsidRDefault="00141111" w:rsidP="00374276">
            <w:pPr>
              <w:rPr>
                <w:rFonts w:ascii="宋体" w:eastAsia="宋体" w:hAnsi="宋体" w:cs="宋体"/>
                <w:bCs/>
                <w:color w:val="000000"/>
                <w:sz w:val="21"/>
                <w:szCs w:val="21"/>
              </w:rPr>
            </w:pPr>
            <w:r>
              <w:rPr>
                <w:rFonts w:ascii="宋体" w:eastAsia="宋体" w:hAnsi="宋体" w:cs="宋体" w:hint="eastAsia"/>
                <w:bCs/>
                <w:color w:val="000000"/>
                <w:sz w:val="21"/>
                <w:szCs w:val="21"/>
              </w:rPr>
              <w:t>1.学院党委每学年至少专题研究1次学生会工作。（2分）</w:t>
            </w:r>
          </w:p>
          <w:p w:rsidR="00141111" w:rsidRDefault="00141111" w:rsidP="00374276">
            <w:pPr>
              <w:rPr>
                <w:rFonts w:ascii="宋体" w:eastAsia="宋体" w:hAnsi="宋体" w:cs="宋体"/>
                <w:bCs/>
                <w:color w:val="000000"/>
                <w:sz w:val="21"/>
                <w:szCs w:val="21"/>
              </w:rPr>
            </w:pPr>
            <w:r>
              <w:rPr>
                <w:rFonts w:ascii="宋体" w:eastAsia="宋体" w:hAnsi="宋体" w:cs="宋体" w:hint="eastAsia"/>
                <w:bCs/>
                <w:color w:val="000000"/>
                <w:sz w:val="21"/>
                <w:szCs w:val="21"/>
              </w:rPr>
              <w:t>2.学院党委定期开展1次学生面对面座谈交流。（2分）</w:t>
            </w:r>
          </w:p>
          <w:p w:rsidR="00141111" w:rsidRDefault="00141111" w:rsidP="00374276">
            <w:pPr>
              <w:rPr>
                <w:rFonts w:ascii="宋体" w:eastAsia="宋体" w:hAnsi="宋体" w:cs="宋体"/>
                <w:bCs/>
                <w:color w:val="000000"/>
                <w:sz w:val="21"/>
                <w:szCs w:val="21"/>
              </w:rPr>
            </w:pPr>
            <w:r>
              <w:rPr>
                <w:rFonts w:ascii="宋体" w:eastAsia="宋体" w:hAnsi="宋体" w:cs="宋体" w:hint="eastAsia"/>
                <w:bCs/>
                <w:color w:val="000000"/>
                <w:sz w:val="21"/>
                <w:szCs w:val="21"/>
              </w:rPr>
              <w:t>3.学生会团支部每学期至少组织开展2次政治理论学习。（1分/次，合计2分）</w:t>
            </w:r>
          </w:p>
          <w:p w:rsidR="00141111" w:rsidRDefault="00141111" w:rsidP="00374276">
            <w:pPr>
              <w:pStyle w:val="TableParagraph"/>
              <w:autoSpaceDE/>
              <w:autoSpaceDN/>
              <w:jc w:val="both"/>
              <w:rPr>
                <w:spacing w:val="-2"/>
                <w:sz w:val="21"/>
                <w:szCs w:val="21"/>
              </w:rPr>
            </w:pPr>
            <w:r>
              <w:rPr>
                <w:rFonts w:hint="eastAsia"/>
                <w:bCs/>
                <w:color w:val="000000"/>
                <w:sz w:val="21"/>
                <w:szCs w:val="21"/>
              </w:rPr>
              <w:t>4.组织学生干部培训，需附培训材料；（培训班2分/次，培训会0.5/次，合计2分）</w:t>
            </w:r>
          </w:p>
        </w:tc>
        <w:tc>
          <w:tcPr>
            <w:tcW w:w="2032" w:type="dxa"/>
            <w:vAlign w:val="center"/>
          </w:tcPr>
          <w:p w:rsidR="00141111" w:rsidRDefault="00141111" w:rsidP="00374276">
            <w:pPr>
              <w:rPr>
                <w:rFonts w:ascii="宋体" w:eastAsia="宋体" w:hAnsi="宋体" w:cs="宋体"/>
                <w:spacing w:val="-2"/>
                <w:sz w:val="21"/>
                <w:szCs w:val="21"/>
              </w:rPr>
            </w:pPr>
            <w:r>
              <w:rPr>
                <w:rFonts w:ascii="宋体" w:eastAsia="宋体" w:hAnsi="宋体" w:cs="宋体" w:hint="eastAsia"/>
                <w:kern w:val="2"/>
                <w:sz w:val="21"/>
                <w:szCs w:val="21"/>
              </w:rPr>
              <w:t>本项均需提供印证材料</w:t>
            </w:r>
          </w:p>
        </w:tc>
      </w:tr>
      <w:tr w:rsidR="00141111" w:rsidTr="00374276">
        <w:trPr>
          <w:trHeight w:val="1916"/>
          <w:jc w:val="center"/>
        </w:trPr>
        <w:tc>
          <w:tcPr>
            <w:tcW w:w="731" w:type="dxa"/>
            <w:vMerge/>
            <w:vAlign w:val="center"/>
          </w:tcPr>
          <w:p w:rsidR="00141111" w:rsidRDefault="00141111" w:rsidP="00374276">
            <w:pPr>
              <w:pStyle w:val="TableParagraph"/>
              <w:autoSpaceDE/>
              <w:autoSpaceDN/>
              <w:jc w:val="both"/>
            </w:pPr>
          </w:p>
        </w:tc>
        <w:tc>
          <w:tcPr>
            <w:tcW w:w="2118" w:type="dxa"/>
            <w:vMerge/>
          </w:tcPr>
          <w:p w:rsidR="00141111" w:rsidRDefault="00141111" w:rsidP="00374276">
            <w:pPr>
              <w:pStyle w:val="TableParagraph"/>
              <w:autoSpaceDE/>
              <w:autoSpaceDN/>
              <w:jc w:val="both"/>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（2）贯彻落实《巢湖学院学生会改革实施方案》。（7分）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1.人员规模合理，总人数不超过30人，其中主席团不超过3人；（1分）</w:t>
            </w:r>
          </w:p>
          <w:p w:rsidR="00141111" w:rsidRDefault="00141111" w:rsidP="00374276">
            <w:pPr>
              <w:pStyle w:val="TableParagraph"/>
              <w:autoSpaceDE/>
              <w:autoSpaceDN/>
              <w:jc w:val="both"/>
              <w:rPr>
                <w:spacing w:val="-2"/>
                <w:sz w:val="21"/>
                <w:szCs w:val="21"/>
              </w:rPr>
            </w:pPr>
            <w:r>
              <w:rPr>
                <w:rFonts w:hint="eastAsia"/>
                <w:spacing w:val="-2"/>
                <w:sz w:val="21"/>
                <w:szCs w:val="21"/>
              </w:rPr>
              <w:t>2.部门设置合理，职能部门不超过6个；（1分）</w:t>
            </w:r>
          </w:p>
          <w:p w:rsidR="00141111" w:rsidRDefault="00141111" w:rsidP="00374276">
            <w:pPr>
              <w:pStyle w:val="TableParagraph"/>
              <w:autoSpaceDE/>
              <w:autoSpaceDN/>
              <w:jc w:val="both"/>
              <w:rPr>
                <w:spacing w:val="-2"/>
                <w:sz w:val="21"/>
                <w:szCs w:val="21"/>
              </w:rPr>
            </w:pPr>
            <w:r>
              <w:rPr>
                <w:rFonts w:hint="eastAsia"/>
                <w:spacing w:val="-2"/>
                <w:sz w:val="21"/>
                <w:szCs w:val="21"/>
              </w:rPr>
              <w:t>3.工作人员政治面貌均为共青团员或共产党员；（1分）</w:t>
            </w:r>
          </w:p>
          <w:p w:rsidR="00141111" w:rsidRDefault="00141111" w:rsidP="00374276">
            <w:pPr>
              <w:pStyle w:val="TableParagraph"/>
              <w:autoSpaceDE/>
              <w:autoSpaceDN/>
              <w:jc w:val="both"/>
              <w:rPr>
                <w:spacing w:val="-2"/>
                <w:sz w:val="21"/>
                <w:szCs w:val="21"/>
              </w:rPr>
            </w:pPr>
            <w:r>
              <w:rPr>
                <w:rFonts w:hint="eastAsia"/>
                <w:spacing w:val="-2"/>
                <w:sz w:val="21"/>
                <w:szCs w:val="21"/>
              </w:rPr>
              <w:t>4.每学年召开1次学生代表大会；（1分）</w:t>
            </w:r>
          </w:p>
          <w:p w:rsidR="00141111" w:rsidRDefault="00141111" w:rsidP="00374276">
            <w:pPr>
              <w:pStyle w:val="TableParagraph"/>
              <w:autoSpaceDE/>
              <w:autoSpaceDN/>
              <w:jc w:val="both"/>
              <w:rPr>
                <w:spacing w:val="-2"/>
                <w:sz w:val="21"/>
                <w:szCs w:val="21"/>
              </w:rPr>
            </w:pPr>
            <w:r>
              <w:rPr>
                <w:rFonts w:hint="eastAsia"/>
                <w:spacing w:val="-2"/>
                <w:sz w:val="21"/>
                <w:szCs w:val="21"/>
              </w:rPr>
              <w:t>5.有明确的团组织负责人指导学生会组织，聘任学院团委老师担任院学生会秘书长；（1分）</w:t>
            </w:r>
          </w:p>
          <w:p w:rsidR="00141111" w:rsidRDefault="00141111" w:rsidP="00374276">
            <w:pPr>
              <w:pStyle w:val="TableParagraph"/>
              <w:autoSpaceDE/>
              <w:autoSpaceDN/>
              <w:jc w:val="both"/>
              <w:rPr>
                <w:spacing w:val="-2"/>
                <w:sz w:val="21"/>
                <w:szCs w:val="21"/>
              </w:rPr>
            </w:pPr>
            <w:r>
              <w:rPr>
                <w:rFonts w:hint="eastAsia"/>
                <w:spacing w:val="-2"/>
                <w:sz w:val="21"/>
                <w:szCs w:val="21"/>
              </w:rPr>
              <w:lastRenderedPageBreak/>
              <w:t>6.建立述职评议制度，每学期主席团和部门负责人进行述职。（2分）</w:t>
            </w:r>
          </w:p>
        </w:tc>
        <w:tc>
          <w:tcPr>
            <w:tcW w:w="2032" w:type="dxa"/>
            <w:vAlign w:val="center"/>
          </w:tcPr>
          <w:p w:rsidR="00141111" w:rsidRDefault="00141111" w:rsidP="00374276">
            <w:pPr>
              <w:pStyle w:val="TableParagraph"/>
              <w:jc w:val="both"/>
              <w:rPr>
                <w:spacing w:val="-2"/>
                <w:sz w:val="21"/>
                <w:szCs w:val="21"/>
              </w:rPr>
            </w:pPr>
            <w:r>
              <w:rPr>
                <w:rFonts w:hint="eastAsia"/>
                <w:kern w:val="2"/>
                <w:sz w:val="21"/>
                <w:szCs w:val="21"/>
              </w:rPr>
              <w:lastRenderedPageBreak/>
              <w:t>本项均需提供印证材料</w:t>
            </w:r>
          </w:p>
        </w:tc>
      </w:tr>
      <w:tr w:rsidR="00141111" w:rsidTr="00374276">
        <w:trPr>
          <w:trHeight w:hRule="exact" w:val="1984"/>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tcPr>
          <w:p w:rsidR="00141111" w:rsidRDefault="00141111" w:rsidP="00374276">
            <w:pP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（3）学生会组织健全，组织机构建设合理。（7分）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1.有规范的学生干部选聘办法、日常管理和考核制度等；（3分）</w:t>
            </w:r>
          </w:p>
          <w:p w:rsidR="00141111" w:rsidRDefault="00141111" w:rsidP="00374276">
            <w:pPr>
              <w:pStyle w:val="TableParagraph"/>
              <w:autoSpaceDE/>
              <w:autoSpaceDN/>
              <w:jc w:val="both"/>
              <w:rPr>
                <w:spacing w:val="-2"/>
                <w:sz w:val="21"/>
                <w:szCs w:val="21"/>
              </w:rPr>
            </w:pPr>
            <w:r>
              <w:rPr>
                <w:rFonts w:hint="eastAsia"/>
                <w:spacing w:val="-2"/>
                <w:sz w:val="21"/>
                <w:szCs w:val="21"/>
              </w:rPr>
              <w:t>2.每学期均有行事历、工作计划、日常工作日志、工作总结。（4分）</w:t>
            </w:r>
          </w:p>
        </w:tc>
        <w:tc>
          <w:tcPr>
            <w:tcW w:w="2032" w:type="dxa"/>
            <w:vAlign w:val="center"/>
          </w:tcPr>
          <w:p w:rsidR="00141111" w:rsidRDefault="00141111" w:rsidP="00374276">
            <w:pPr>
              <w:pStyle w:val="TableParagraph"/>
              <w:jc w:val="both"/>
              <w:rPr>
                <w:spacing w:val="-2"/>
                <w:sz w:val="21"/>
                <w:szCs w:val="21"/>
              </w:rPr>
            </w:pPr>
            <w:r>
              <w:rPr>
                <w:rFonts w:hint="eastAsia"/>
                <w:kern w:val="2"/>
                <w:sz w:val="21"/>
                <w:szCs w:val="21"/>
              </w:rPr>
              <w:t>本项均需提供印证材料</w:t>
            </w:r>
          </w:p>
        </w:tc>
      </w:tr>
      <w:tr w:rsidR="00141111" w:rsidTr="00374276">
        <w:trPr>
          <w:trHeight w:hRule="exact" w:val="1855"/>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tcPr>
          <w:p w:rsidR="00141111" w:rsidRDefault="00141111" w:rsidP="00374276">
            <w:pP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p>
          <w:p w:rsidR="00141111" w:rsidRDefault="00141111" w:rsidP="00374276">
            <w:pPr>
              <w:pStyle w:val="TableParagraph"/>
              <w:autoSpaceDE/>
              <w:autoSpaceDN/>
              <w:jc w:val="both"/>
              <w:rPr>
                <w:spacing w:val="-2"/>
                <w:sz w:val="21"/>
                <w:szCs w:val="21"/>
              </w:rPr>
            </w:pPr>
            <w:r>
              <w:rPr>
                <w:rFonts w:hint="eastAsia"/>
                <w:spacing w:val="-2"/>
                <w:sz w:val="21"/>
                <w:szCs w:val="21"/>
              </w:rPr>
              <w:t>(4）定期召开学生会例会。（2分）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部门负责人例会每3周召开1次，全体例会每月召开1次。缺少1次扣0.5分，扣完该项分为止。</w:t>
            </w:r>
          </w:p>
        </w:tc>
        <w:tc>
          <w:tcPr>
            <w:tcW w:w="2032" w:type="dxa"/>
            <w:vAlign w:val="center"/>
          </w:tcPr>
          <w:p w:rsidR="00141111" w:rsidRDefault="00141111" w:rsidP="00374276">
            <w:pPr>
              <w:pStyle w:val="TableParagraph"/>
              <w:spacing w:line="278" w:lineRule="auto"/>
              <w:jc w:val="both"/>
              <w:rPr>
                <w:spacing w:val="-2"/>
                <w:sz w:val="21"/>
                <w:szCs w:val="21"/>
              </w:rPr>
            </w:pPr>
            <w:r>
              <w:rPr>
                <w:rFonts w:hint="eastAsia"/>
                <w:spacing w:val="-2"/>
                <w:sz w:val="21"/>
                <w:szCs w:val="21"/>
              </w:rPr>
              <w:t>此项考核需提供会议记录本，会议签到表，如遇法定节假日取消的例会请说明原因</w:t>
            </w:r>
          </w:p>
        </w:tc>
      </w:tr>
      <w:tr w:rsidR="00141111" w:rsidTr="00374276">
        <w:trPr>
          <w:trHeight w:hRule="exact" w:val="1587"/>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tcPr>
          <w:p w:rsidR="00141111" w:rsidRDefault="00141111" w:rsidP="00374276">
            <w:pP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（5）参加校学生会组织的各项会议。（2分）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按时参加学生会组织相关会议。迟到或早退扣0.5分/次，请假扣1分/次，无故缺席扣1. 5分/次，扣完该项分为止。</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sz w:val="21"/>
                <w:szCs w:val="21"/>
              </w:rPr>
              <w:t>依据工作台账</w:t>
            </w:r>
          </w:p>
        </w:tc>
      </w:tr>
      <w:tr w:rsidR="00141111" w:rsidTr="00374276">
        <w:trPr>
          <w:trHeight w:hRule="exact" w:val="3118"/>
          <w:jc w:val="center"/>
        </w:trPr>
        <w:tc>
          <w:tcPr>
            <w:tcW w:w="731" w:type="dxa"/>
            <w:vMerge/>
          </w:tcPr>
          <w:p w:rsidR="00141111" w:rsidRDefault="00141111" w:rsidP="00374276"/>
        </w:tc>
        <w:tc>
          <w:tcPr>
            <w:tcW w:w="2118" w:type="dxa"/>
            <w:vMerge/>
            <w:vAlign w:val="center"/>
          </w:tcPr>
          <w:p w:rsidR="00141111" w:rsidRDefault="00141111" w:rsidP="00374276"/>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（6）学生会本学年集体获奖情况及内部考评组织工作。（4分）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1.集体获奖情况需附获奖情况汇总表、证书复印件，集体奖项0.5分/项，个人竞赛类奖项 0.1分/项，省级及以上0.2分/项，个人政治类表彰0.2分/项，省级及以上0.4分/项；（ 2分）</w:t>
            </w:r>
          </w:p>
          <w:p w:rsidR="00141111" w:rsidRDefault="00141111" w:rsidP="00374276">
            <w:pPr>
              <w:pStyle w:val="TableParagraph"/>
              <w:autoSpaceDE/>
              <w:autoSpaceDN/>
              <w:jc w:val="both"/>
              <w:rPr>
                <w:spacing w:val="-2"/>
                <w:sz w:val="21"/>
                <w:szCs w:val="21"/>
              </w:rPr>
            </w:pPr>
            <w:r>
              <w:rPr>
                <w:rFonts w:hint="eastAsia"/>
                <w:spacing w:val="-2"/>
                <w:sz w:val="21"/>
                <w:szCs w:val="21"/>
              </w:rPr>
              <w:t>2.学生会按期进行内部考评工作如每月之星、优秀部门等（2分）</w:t>
            </w:r>
          </w:p>
        </w:tc>
        <w:tc>
          <w:tcPr>
            <w:tcW w:w="2032" w:type="dxa"/>
            <w:vAlign w:val="center"/>
          </w:tcPr>
          <w:p w:rsidR="00141111" w:rsidRDefault="00141111" w:rsidP="00374276">
            <w:pPr>
              <w:pStyle w:val="TableParagraph"/>
              <w:jc w:val="both"/>
              <w:rPr>
                <w:spacing w:val="-2"/>
                <w:sz w:val="21"/>
                <w:szCs w:val="21"/>
              </w:rPr>
            </w:pPr>
            <w:r>
              <w:rPr>
                <w:rFonts w:hint="eastAsia"/>
                <w:kern w:val="2"/>
                <w:sz w:val="21"/>
                <w:szCs w:val="21"/>
              </w:rPr>
              <w:t>本项均需提供印证材料</w:t>
            </w:r>
          </w:p>
        </w:tc>
      </w:tr>
      <w:tr w:rsidR="00141111" w:rsidTr="00374276">
        <w:trPr>
          <w:trHeight w:hRule="exact" w:val="2846"/>
          <w:jc w:val="center"/>
        </w:trPr>
        <w:tc>
          <w:tcPr>
            <w:tcW w:w="731" w:type="dxa"/>
            <w:vMerge/>
          </w:tcPr>
          <w:p w:rsidR="00141111" w:rsidRDefault="00141111" w:rsidP="00374276">
            <w:pPr>
              <w:rPr>
                <w:rFonts w:ascii="宋体" w:hAnsi="宋体" w:cs="仿宋"/>
                <w:szCs w:val="21"/>
              </w:rPr>
            </w:pPr>
          </w:p>
        </w:tc>
        <w:tc>
          <w:tcPr>
            <w:tcW w:w="2118" w:type="dxa"/>
            <w:vMerge/>
            <w:vAlign w:val="center"/>
          </w:tcPr>
          <w:p w:rsidR="00141111" w:rsidRDefault="00141111" w:rsidP="00374276">
            <w:pPr>
              <w:rPr>
                <w:rFonts w:ascii="宋体" w:hAnsi="宋体" w:cs="仿宋"/>
                <w:szCs w:val="21"/>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（7）学生会工作人员成绩优异，期末考试无挂科情况。（4分）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1.学生会成员最近一学期/学年综测排名均达班级/年级前30%，且无课程不及格况的不扣分。</w:t>
            </w:r>
          </w:p>
          <w:p w:rsidR="00141111" w:rsidRDefault="00141111" w:rsidP="00374276">
            <w:pPr>
              <w:pStyle w:val="TableParagraph"/>
              <w:autoSpaceDE/>
              <w:autoSpaceDN/>
              <w:jc w:val="both"/>
              <w:rPr>
                <w:spacing w:val="-2"/>
                <w:sz w:val="21"/>
                <w:szCs w:val="21"/>
              </w:rPr>
            </w:pPr>
            <w:r>
              <w:rPr>
                <w:rFonts w:hint="eastAsia"/>
                <w:spacing w:val="-2"/>
                <w:sz w:val="21"/>
                <w:szCs w:val="21"/>
              </w:rPr>
              <w:t>2.有成绩未达标，但无课程不及格情况。扣2分。</w:t>
            </w:r>
          </w:p>
          <w:p w:rsidR="00141111" w:rsidRDefault="00141111" w:rsidP="00374276">
            <w:pPr>
              <w:pStyle w:val="TableParagraph"/>
              <w:autoSpaceDE/>
              <w:autoSpaceDN/>
              <w:jc w:val="both"/>
              <w:rPr>
                <w:spacing w:val="-2"/>
                <w:sz w:val="21"/>
                <w:szCs w:val="21"/>
              </w:rPr>
            </w:pPr>
            <w:r>
              <w:rPr>
                <w:rFonts w:hint="eastAsia"/>
                <w:spacing w:val="-2"/>
                <w:sz w:val="21"/>
                <w:szCs w:val="21"/>
              </w:rPr>
              <w:t>3.存在挂科现象，此项不得分。</w:t>
            </w:r>
          </w:p>
        </w:tc>
        <w:tc>
          <w:tcPr>
            <w:tcW w:w="2032" w:type="dxa"/>
            <w:vAlign w:val="center"/>
          </w:tcPr>
          <w:p w:rsidR="00141111" w:rsidRDefault="00141111" w:rsidP="00374276">
            <w:pPr>
              <w:pStyle w:val="TableParagraph"/>
              <w:spacing w:line="269" w:lineRule="exact"/>
              <w:jc w:val="both"/>
              <w:rPr>
                <w:spacing w:val="-2"/>
                <w:sz w:val="21"/>
                <w:szCs w:val="21"/>
              </w:rPr>
            </w:pPr>
            <w:r>
              <w:rPr>
                <w:rFonts w:hint="eastAsia"/>
                <w:kern w:val="2"/>
                <w:sz w:val="21"/>
                <w:szCs w:val="21"/>
              </w:rPr>
              <w:t>本项均需提供印证材料</w:t>
            </w:r>
          </w:p>
        </w:tc>
      </w:tr>
      <w:tr w:rsidR="00141111" w:rsidTr="00374276">
        <w:trPr>
          <w:trHeight w:hRule="exact" w:val="1984"/>
          <w:jc w:val="center"/>
        </w:trPr>
        <w:tc>
          <w:tcPr>
            <w:tcW w:w="731" w:type="dxa"/>
            <w:vMerge/>
          </w:tcPr>
          <w:p w:rsidR="00141111" w:rsidRDefault="00141111" w:rsidP="00374276">
            <w:pPr>
              <w:rPr>
                <w:rFonts w:ascii="宋体" w:hAnsi="宋体" w:cs="仿宋"/>
                <w:szCs w:val="21"/>
              </w:rPr>
            </w:pPr>
          </w:p>
        </w:tc>
        <w:tc>
          <w:tcPr>
            <w:tcW w:w="2118" w:type="dxa"/>
            <w:vMerge/>
            <w:vAlign w:val="center"/>
          </w:tcPr>
          <w:p w:rsidR="00141111" w:rsidRDefault="00141111" w:rsidP="00374276">
            <w:pPr>
              <w:rPr>
                <w:rFonts w:ascii="宋体" w:hAnsi="宋体" w:cs="仿宋"/>
                <w:szCs w:val="21"/>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（8）学生会工作人员作风优良，无违反校规校纪或 存在不合格、不称职现象。（2分）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根据学院学生会述职评议结果和学校违纪处分的相关数据，无违反校规校纪或存在不合格、不称职现象的得2分，反之不得分。</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kern w:val="2"/>
                <w:sz w:val="21"/>
                <w:szCs w:val="21"/>
              </w:rPr>
              <w:t>提供印证材料</w:t>
            </w:r>
          </w:p>
        </w:tc>
      </w:tr>
      <w:tr w:rsidR="00141111" w:rsidTr="00374276">
        <w:trPr>
          <w:trHeight w:hRule="exact" w:val="1984"/>
          <w:jc w:val="center"/>
        </w:trPr>
        <w:tc>
          <w:tcPr>
            <w:tcW w:w="731" w:type="dxa"/>
            <w:vMerge/>
          </w:tcPr>
          <w:p w:rsidR="00141111" w:rsidRDefault="00141111" w:rsidP="00374276">
            <w:pPr>
              <w:rPr>
                <w:rFonts w:ascii="宋体" w:hAnsi="宋体" w:cs="仿宋"/>
                <w:szCs w:val="21"/>
              </w:rPr>
            </w:pPr>
          </w:p>
        </w:tc>
        <w:tc>
          <w:tcPr>
            <w:tcW w:w="2118" w:type="dxa"/>
            <w:vMerge/>
            <w:vAlign w:val="center"/>
          </w:tcPr>
          <w:p w:rsidR="00141111" w:rsidRDefault="00141111" w:rsidP="00374276">
            <w:pPr>
              <w:rPr>
                <w:rFonts w:ascii="宋体" w:hAnsi="宋体" w:cs="仿宋"/>
                <w:szCs w:val="21"/>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（9）积极与校学生会或其他学院学生会交流学习，加强院、班两级联动。（4分）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1.开展校院两级学生会召开交流会（1分/次，合计2分）</w:t>
            </w:r>
          </w:p>
          <w:p w:rsidR="00141111" w:rsidRDefault="00141111" w:rsidP="00374276">
            <w:pPr>
              <w:pStyle w:val="TableParagraph"/>
              <w:autoSpaceDE/>
              <w:autoSpaceDN/>
              <w:jc w:val="both"/>
              <w:rPr>
                <w:spacing w:val="-2"/>
                <w:sz w:val="21"/>
                <w:szCs w:val="21"/>
              </w:rPr>
            </w:pPr>
            <w:r>
              <w:rPr>
                <w:rFonts w:hint="eastAsia"/>
                <w:spacing w:val="-2"/>
                <w:sz w:val="21"/>
                <w:szCs w:val="21"/>
              </w:rPr>
              <w:t>2.加强院班联动方面工作情况（0.5分/次，合计2分）</w:t>
            </w:r>
          </w:p>
        </w:tc>
        <w:tc>
          <w:tcPr>
            <w:tcW w:w="2032" w:type="dxa"/>
            <w:vAlign w:val="center"/>
          </w:tcPr>
          <w:p w:rsidR="00141111" w:rsidRDefault="00141111" w:rsidP="00374276">
            <w:pPr>
              <w:pStyle w:val="TableParagraph"/>
              <w:jc w:val="both"/>
              <w:rPr>
                <w:spacing w:val="-2"/>
                <w:sz w:val="21"/>
                <w:szCs w:val="21"/>
              </w:rPr>
            </w:pPr>
            <w:r>
              <w:rPr>
                <w:rFonts w:hint="eastAsia"/>
                <w:kern w:val="2"/>
                <w:sz w:val="21"/>
                <w:szCs w:val="21"/>
              </w:rPr>
              <w:t>本项均需提供印证材料</w:t>
            </w:r>
          </w:p>
        </w:tc>
      </w:tr>
      <w:tr w:rsidR="00141111" w:rsidTr="00374276">
        <w:trPr>
          <w:trHeight w:hRule="exact" w:val="2237"/>
          <w:jc w:val="center"/>
        </w:trPr>
        <w:tc>
          <w:tcPr>
            <w:tcW w:w="731" w:type="dxa"/>
            <w:vMerge w:val="restart"/>
            <w:vAlign w:val="center"/>
          </w:tcPr>
          <w:p w:rsidR="00141111" w:rsidRDefault="00141111" w:rsidP="00374276">
            <w:pPr>
              <w:jc w:val="center"/>
              <w:rPr>
                <w:rFonts w:ascii="方正黑体_GBK" w:eastAsia="方正黑体_GBK"/>
                <w:color w:val="000000"/>
                <w:sz w:val="28"/>
                <w:szCs w:val="28"/>
              </w:rPr>
            </w:pPr>
            <w:r>
              <w:rPr>
                <w:rFonts w:ascii="方正黑体_GBK" w:eastAsia="方正黑体_GBK" w:hint="eastAsia"/>
                <w:color w:val="000000"/>
                <w:sz w:val="28"/>
                <w:szCs w:val="28"/>
              </w:rPr>
              <w:t>3</w:t>
            </w:r>
          </w:p>
        </w:tc>
        <w:tc>
          <w:tcPr>
            <w:tcW w:w="2118" w:type="dxa"/>
            <w:vMerge w:val="restart"/>
            <w:vAlign w:val="center"/>
          </w:tcPr>
          <w:p w:rsidR="00141111" w:rsidRDefault="00141111" w:rsidP="00374276">
            <w:pPr>
              <w:pStyle w:val="TableParagraph"/>
              <w:ind w:right="233"/>
              <w:jc w:val="center"/>
              <w:rPr>
                <w:rFonts w:ascii="方正黑体_GBK" w:eastAsia="方正黑体_GBK"/>
                <w:b/>
                <w:sz w:val="24"/>
              </w:rPr>
            </w:pPr>
            <w:r>
              <w:rPr>
                <w:rFonts w:ascii="方正黑体_GBK" w:eastAsia="方正黑体_GBK" w:hint="eastAsia"/>
                <w:b/>
                <w:w w:val="95"/>
                <w:sz w:val="24"/>
              </w:rPr>
              <w:t xml:space="preserve"> 素质能力提</w:t>
            </w:r>
            <w:r>
              <w:rPr>
                <w:rFonts w:ascii="方正黑体_GBK" w:eastAsia="方正黑体_GBK" w:hint="eastAsia"/>
                <w:b/>
                <w:spacing w:val="-10"/>
                <w:w w:val="95"/>
                <w:sz w:val="24"/>
              </w:rPr>
              <w:t>升</w:t>
            </w:r>
          </w:p>
          <w:p w:rsidR="00141111" w:rsidRDefault="00141111" w:rsidP="00374276">
            <w:pPr>
              <w:pStyle w:val="TableParagraph"/>
              <w:spacing w:before="15"/>
              <w:jc w:val="center"/>
              <w:rPr>
                <w:rFonts w:ascii="方正小标宋_GBK"/>
                <w:b/>
                <w:sz w:val="13"/>
              </w:rPr>
            </w:pPr>
          </w:p>
          <w:p w:rsidR="00141111" w:rsidRDefault="00141111" w:rsidP="00374276">
            <w:pPr>
              <w:pStyle w:val="TableParagraph"/>
              <w:spacing w:before="1"/>
              <w:ind w:right="233"/>
              <w:jc w:val="center"/>
              <w:rPr>
                <w:rFonts w:ascii="方正黑体_GBK" w:eastAsia="方正黑体_GBK"/>
                <w:color w:val="000000"/>
                <w:sz w:val="24"/>
                <w:szCs w:val="24"/>
              </w:rPr>
            </w:pPr>
            <w:r>
              <w:rPr>
                <w:rFonts w:ascii="方正黑体_GBK" w:eastAsia="方正黑体_GBK" w:hint="eastAsia"/>
                <w:b/>
                <w:sz w:val="24"/>
              </w:rPr>
              <w:t>（19</w:t>
            </w:r>
            <w:r>
              <w:rPr>
                <w:rFonts w:ascii="方正黑体_GBK" w:eastAsia="方正黑体_GBK" w:hint="eastAsia"/>
                <w:b/>
                <w:spacing w:val="-6"/>
                <w:sz w:val="24"/>
              </w:rPr>
              <w:t>分</w:t>
            </w:r>
            <w:r>
              <w:rPr>
                <w:rFonts w:ascii="方正黑体_GBK" w:eastAsia="方正黑体_GBK" w:hint="eastAsia"/>
                <w:b/>
                <w:spacing w:val="-10"/>
                <w:sz w:val="24"/>
              </w:rPr>
              <w:t>）</w:t>
            </w: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（1）积极参与校学生会组织开展的相关活动情况。（6分）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根据红色经典故事讲述比赛、第二十一届宿舍文化节、文明修身月、第十九届女生节和第七届权益服务周等活动参与情况，进行等级评定。（一级6分，二级5分，三级4分，四级3分，合计6分</w:t>
            </w:r>
          </w:p>
          <w:p w:rsidR="00141111" w:rsidRDefault="00141111" w:rsidP="00374276">
            <w:pPr>
              <w:pStyle w:val="TableParagraph"/>
              <w:autoSpaceDE/>
              <w:autoSpaceDN/>
              <w:jc w:val="both"/>
              <w:rPr>
                <w:spacing w:val="-2"/>
                <w:sz w:val="21"/>
                <w:szCs w:val="21"/>
              </w:rPr>
            </w:pPr>
            <w:r>
              <w:rPr>
                <w:rFonts w:hint="eastAsia"/>
                <w:spacing w:val="-2"/>
                <w:sz w:val="21"/>
                <w:szCs w:val="21"/>
              </w:rPr>
              <w:t>）</w:t>
            </w:r>
          </w:p>
        </w:tc>
        <w:tc>
          <w:tcPr>
            <w:tcW w:w="2032" w:type="dxa"/>
            <w:vAlign w:val="center"/>
          </w:tcPr>
          <w:p w:rsidR="00141111" w:rsidRDefault="00141111" w:rsidP="00374276">
            <w:pPr>
              <w:pStyle w:val="TableParagraph"/>
              <w:spacing w:line="269" w:lineRule="exact"/>
              <w:jc w:val="center"/>
              <w:rPr>
                <w:sz w:val="21"/>
                <w:szCs w:val="21"/>
              </w:rPr>
            </w:pPr>
            <w:r>
              <w:rPr>
                <w:rFonts w:hint="eastAsia"/>
                <w:sz w:val="21"/>
                <w:szCs w:val="21"/>
              </w:rPr>
              <w:t>依据工作台账</w:t>
            </w:r>
          </w:p>
        </w:tc>
      </w:tr>
      <w:tr w:rsidR="00141111" w:rsidTr="00374276">
        <w:trPr>
          <w:trHeight w:hRule="exact" w:val="1134"/>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tcPr>
          <w:p w:rsidR="00141111" w:rsidRDefault="00141111" w:rsidP="00374276">
            <w:pP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（2）积极开展心理健康教育。（2分）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如开展心理健康讲座、心理月活动等，计1分/次。</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kern w:val="2"/>
                <w:sz w:val="21"/>
                <w:szCs w:val="21"/>
              </w:rPr>
              <w:t>提供印证材料</w:t>
            </w:r>
          </w:p>
        </w:tc>
      </w:tr>
      <w:tr w:rsidR="00141111" w:rsidTr="00374276">
        <w:trPr>
          <w:trHeight w:hRule="exact" w:val="1247"/>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tcPr>
          <w:p w:rsidR="00141111" w:rsidRDefault="00141111" w:rsidP="00374276">
            <w:pP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（3）积极开展有专业特色的校园文化活动。（5分）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有相应活动的开展证明，如策划书、报道通讯稿、总结等。（计1分/次）</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kern w:val="2"/>
                <w:sz w:val="21"/>
                <w:szCs w:val="21"/>
              </w:rPr>
              <w:t>提供印证材料</w:t>
            </w:r>
          </w:p>
        </w:tc>
      </w:tr>
      <w:tr w:rsidR="00141111" w:rsidTr="00374276">
        <w:trPr>
          <w:trHeight w:hRule="exact" w:val="1587"/>
          <w:jc w:val="center"/>
        </w:trPr>
        <w:tc>
          <w:tcPr>
            <w:tcW w:w="731" w:type="dxa"/>
            <w:vMerge/>
          </w:tcPr>
          <w:p w:rsidR="00141111" w:rsidRDefault="00141111" w:rsidP="00374276">
            <w:pPr>
              <w:jc w:val="center"/>
              <w:rPr>
                <w:rFonts w:ascii="方正黑体_GBK" w:eastAsia="方正黑体_GBK"/>
                <w:color w:val="000000"/>
                <w:sz w:val="28"/>
                <w:szCs w:val="28"/>
              </w:rPr>
            </w:pPr>
          </w:p>
        </w:tc>
        <w:tc>
          <w:tcPr>
            <w:tcW w:w="2118" w:type="dxa"/>
            <w:vMerge/>
            <w:vAlign w:val="center"/>
          </w:tcPr>
          <w:p w:rsidR="00141111" w:rsidRDefault="00141111" w:rsidP="00374276">
            <w:pPr>
              <w:jc w:val="center"/>
              <w:rPr>
                <w:rFonts w:ascii="方正黑体_GBK" w:eastAsia="方正黑体_GBK"/>
                <w:color w:val="000000"/>
                <w:sz w:val="24"/>
                <w:szCs w:val="24"/>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（4）积极组织同学参与社会实践、志愿服务、创新创业等活动。（6分）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社会实践（2分）、创新创业（2分）、志愿服务（2分）方面的工作开展情况。</w:t>
            </w:r>
          </w:p>
        </w:tc>
        <w:tc>
          <w:tcPr>
            <w:tcW w:w="2032" w:type="dxa"/>
            <w:vAlign w:val="center"/>
          </w:tcPr>
          <w:p w:rsidR="00141111" w:rsidRDefault="00141111" w:rsidP="00374276">
            <w:pPr>
              <w:pStyle w:val="TableParagraph"/>
              <w:spacing w:line="278" w:lineRule="auto"/>
              <w:jc w:val="both"/>
              <w:rPr>
                <w:spacing w:val="-2"/>
                <w:sz w:val="21"/>
                <w:szCs w:val="21"/>
              </w:rPr>
            </w:pPr>
            <w:r>
              <w:rPr>
                <w:rFonts w:hint="eastAsia"/>
                <w:spacing w:val="-2"/>
                <w:sz w:val="21"/>
                <w:szCs w:val="21"/>
              </w:rPr>
              <w:t>需提供文字、图片材料。</w:t>
            </w:r>
          </w:p>
        </w:tc>
      </w:tr>
      <w:tr w:rsidR="00141111" w:rsidTr="00374276">
        <w:trPr>
          <w:trHeight w:hRule="exact" w:val="1077"/>
          <w:jc w:val="center"/>
        </w:trPr>
        <w:tc>
          <w:tcPr>
            <w:tcW w:w="731" w:type="dxa"/>
            <w:vMerge w:val="restart"/>
            <w:vAlign w:val="center"/>
          </w:tcPr>
          <w:p w:rsidR="00141111" w:rsidRDefault="00141111" w:rsidP="00374276">
            <w:pPr>
              <w:jc w:val="center"/>
              <w:rPr>
                <w:rFonts w:ascii="方正黑体_GBK" w:eastAsia="方正黑体_GBK"/>
                <w:color w:val="000000"/>
                <w:sz w:val="28"/>
                <w:szCs w:val="28"/>
              </w:rPr>
            </w:pPr>
            <w:r>
              <w:rPr>
                <w:rFonts w:ascii="方正黑体_GBK" w:eastAsia="方正黑体_GBK" w:hint="eastAsia"/>
                <w:color w:val="000000"/>
                <w:sz w:val="28"/>
                <w:szCs w:val="28"/>
              </w:rPr>
              <w:t>4</w:t>
            </w:r>
          </w:p>
        </w:tc>
        <w:tc>
          <w:tcPr>
            <w:tcW w:w="2118" w:type="dxa"/>
            <w:vMerge w:val="restart"/>
            <w:vAlign w:val="center"/>
          </w:tcPr>
          <w:p w:rsidR="00141111" w:rsidRDefault="00141111" w:rsidP="00374276">
            <w:pPr>
              <w:pStyle w:val="TableParagraph"/>
              <w:spacing w:before="1"/>
              <w:ind w:right="233"/>
              <w:jc w:val="center"/>
              <w:rPr>
                <w:rFonts w:ascii="方正黑体_GBK" w:eastAsia="方正黑体_GBK"/>
                <w:b/>
                <w:sz w:val="24"/>
              </w:rPr>
            </w:pPr>
            <w:r>
              <w:rPr>
                <w:rFonts w:ascii="方正黑体_GBK" w:eastAsia="方正黑体_GBK" w:hint="eastAsia"/>
                <w:b/>
                <w:w w:val="95"/>
                <w:sz w:val="24"/>
              </w:rPr>
              <w:t>权益服</w:t>
            </w:r>
            <w:r>
              <w:rPr>
                <w:rFonts w:ascii="方正黑体_GBK" w:eastAsia="方正黑体_GBK" w:hint="eastAsia"/>
                <w:b/>
                <w:spacing w:val="-10"/>
                <w:w w:val="95"/>
                <w:sz w:val="24"/>
              </w:rPr>
              <w:t>务工作</w:t>
            </w:r>
          </w:p>
          <w:p w:rsidR="00141111" w:rsidRDefault="00141111" w:rsidP="00374276">
            <w:pPr>
              <w:pStyle w:val="TableParagraph"/>
              <w:spacing w:before="15"/>
              <w:rPr>
                <w:rFonts w:ascii="方正小标宋_GBK"/>
                <w:b/>
                <w:sz w:val="13"/>
              </w:rPr>
            </w:pPr>
          </w:p>
          <w:p w:rsidR="00141111" w:rsidRDefault="00141111" w:rsidP="00374276">
            <w:pPr>
              <w:pStyle w:val="TableParagraph"/>
              <w:ind w:right="233"/>
              <w:jc w:val="center"/>
              <w:rPr>
                <w:rFonts w:ascii="方正黑体_GBK" w:eastAsia="方正黑体_GBK"/>
                <w:color w:val="000000"/>
                <w:sz w:val="24"/>
                <w:szCs w:val="24"/>
              </w:rPr>
            </w:pPr>
            <w:r>
              <w:rPr>
                <w:rFonts w:ascii="方正黑体_GBK" w:eastAsia="方正黑体_GBK" w:hint="eastAsia"/>
                <w:b/>
                <w:sz w:val="24"/>
              </w:rPr>
              <w:t>（23</w:t>
            </w:r>
            <w:r>
              <w:rPr>
                <w:rFonts w:ascii="方正黑体_GBK" w:eastAsia="方正黑体_GBK" w:hint="eastAsia"/>
                <w:b/>
                <w:spacing w:val="-6"/>
                <w:sz w:val="24"/>
              </w:rPr>
              <w:t>分</w:t>
            </w:r>
            <w:r>
              <w:rPr>
                <w:rFonts w:ascii="方正黑体_GBK" w:eastAsia="方正黑体_GBK" w:hint="eastAsia"/>
                <w:b/>
                <w:spacing w:val="-10"/>
                <w:sz w:val="24"/>
              </w:rPr>
              <w:t>）</w:t>
            </w: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（1）开展法治宣传、学生权益等方面活动或讲座。（3分）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有相关证明材料。（计1分/次）</w:t>
            </w:r>
          </w:p>
        </w:tc>
        <w:tc>
          <w:tcPr>
            <w:tcW w:w="2032" w:type="dxa"/>
            <w:vAlign w:val="center"/>
          </w:tcPr>
          <w:p w:rsidR="00141111" w:rsidRDefault="00141111" w:rsidP="00374276">
            <w:pPr>
              <w:pStyle w:val="TableParagraph"/>
              <w:spacing w:line="269" w:lineRule="exact"/>
              <w:jc w:val="center"/>
              <w:rPr>
                <w:spacing w:val="-2"/>
                <w:sz w:val="21"/>
                <w:szCs w:val="21"/>
              </w:rPr>
            </w:pPr>
          </w:p>
        </w:tc>
      </w:tr>
      <w:tr w:rsidR="00141111" w:rsidTr="00374276">
        <w:trPr>
          <w:trHeight w:hRule="exact" w:val="2268"/>
          <w:jc w:val="center"/>
        </w:trPr>
        <w:tc>
          <w:tcPr>
            <w:tcW w:w="731" w:type="dxa"/>
            <w:vMerge/>
          </w:tcPr>
          <w:p w:rsidR="00141111" w:rsidRDefault="00141111" w:rsidP="00374276">
            <w:pPr>
              <w:jc w:val="center"/>
              <w:rPr>
                <w:b/>
                <w:bCs/>
                <w:color w:val="000000"/>
              </w:rPr>
            </w:pPr>
          </w:p>
        </w:tc>
        <w:tc>
          <w:tcPr>
            <w:tcW w:w="2118" w:type="dxa"/>
            <w:vMerge/>
          </w:tcPr>
          <w:p w:rsidR="00141111" w:rsidRDefault="00141111" w:rsidP="00374276">
            <w:pPr>
              <w:rPr>
                <w:b/>
                <w:bCs/>
                <w:color w:val="000000"/>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（2）每次“8+1”联席会议问题的整理上报数量和质量，及处理情况反馈。（7分）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1.各学院问题整理上报满足相关要求（一级5分、二级4分、三级2分，合计5分）</w:t>
            </w:r>
          </w:p>
          <w:p w:rsidR="00141111" w:rsidRDefault="00141111" w:rsidP="00374276">
            <w:pPr>
              <w:pStyle w:val="TableParagraph"/>
              <w:autoSpaceDE/>
              <w:autoSpaceDN/>
              <w:jc w:val="both"/>
              <w:rPr>
                <w:spacing w:val="-2"/>
                <w:sz w:val="21"/>
                <w:szCs w:val="21"/>
              </w:rPr>
            </w:pPr>
            <w:r>
              <w:rPr>
                <w:rFonts w:hint="eastAsia"/>
                <w:spacing w:val="-2"/>
                <w:sz w:val="21"/>
                <w:szCs w:val="21"/>
              </w:rPr>
              <w:t>2.会议处理情况未及时传达到班级的扣0.5分/次。（最高扣2分，合计2分）</w:t>
            </w:r>
          </w:p>
        </w:tc>
        <w:tc>
          <w:tcPr>
            <w:tcW w:w="2032" w:type="dxa"/>
            <w:vAlign w:val="center"/>
          </w:tcPr>
          <w:p w:rsidR="00141111" w:rsidRDefault="00141111" w:rsidP="00374276">
            <w:pPr>
              <w:pStyle w:val="TableParagraph"/>
              <w:spacing w:line="269" w:lineRule="exact"/>
              <w:jc w:val="both"/>
              <w:rPr>
                <w:spacing w:val="-2"/>
                <w:sz w:val="21"/>
                <w:szCs w:val="21"/>
              </w:rPr>
            </w:pPr>
            <w:r>
              <w:rPr>
                <w:rFonts w:hint="eastAsia"/>
                <w:spacing w:val="-2"/>
                <w:sz w:val="21"/>
                <w:szCs w:val="21"/>
              </w:rPr>
              <w:t>1.由校学生会权益部依据工作台账进行评级。</w:t>
            </w:r>
          </w:p>
          <w:p w:rsidR="00141111" w:rsidRDefault="00141111" w:rsidP="00374276">
            <w:pPr>
              <w:pStyle w:val="TableParagraph"/>
              <w:spacing w:line="269" w:lineRule="exact"/>
              <w:jc w:val="both"/>
              <w:rPr>
                <w:spacing w:val="-2"/>
                <w:sz w:val="21"/>
                <w:szCs w:val="21"/>
              </w:rPr>
            </w:pPr>
            <w:r>
              <w:rPr>
                <w:rFonts w:hint="eastAsia"/>
                <w:spacing w:val="-2"/>
                <w:sz w:val="21"/>
                <w:szCs w:val="21"/>
              </w:rPr>
              <w:t>2.</w:t>
            </w:r>
            <w:r>
              <w:rPr>
                <w:rFonts w:hint="eastAsia"/>
                <w:kern w:val="2"/>
                <w:sz w:val="21"/>
                <w:szCs w:val="21"/>
              </w:rPr>
              <w:t>提供印证材料，如图片等。</w:t>
            </w:r>
          </w:p>
        </w:tc>
      </w:tr>
      <w:tr w:rsidR="00141111" w:rsidTr="00374276">
        <w:trPr>
          <w:trHeight w:hRule="exact" w:val="1701"/>
          <w:jc w:val="center"/>
        </w:trPr>
        <w:tc>
          <w:tcPr>
            <w:tcW w:w="731" w:type="dxa"/>
            <w:vMerge/>
          </w:tcPr>
          <w:p w:rsidR="00141111" w:rsidRDefault="00141111" w:rsidP="00374276"/>
        </w:tc>
        <w:tc>
          <w:tcPr>
            <w:tcW w:w="2118" w:type="dxa"/>
            <w:vMerge/>
          </w:tcPr>
          <w:p w:rsidR="00141111" w:rsidRDefault="00141111" w:rsidP="00374276"/>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（3）配合校学生会开展餐饮权益方面相关工作。（5分）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餐饮服务等工作参与情况，对各学院进行等级评定。（一级5分，二级4分，三级2分，合计5分）</w:t>
            </w:r>
          </w:p>
        </w:tc>
        <w:tc>
          <w:tcPr>
            <w:tcW w:w="2032" w:type="dxa"/>
            <w:vAlign w:val="center"/>
          </w:tcPr>
          <w:p w:rsidR="00141111" w:rsidRDefault="00141111" w:rsidP="00374276">
            <w:pPr>
              <w:pStyle w:val="TableParagraph"/>
              <w:spacing w:line="261" w:lineRule="exact"/>
              <w:jc w:val="center"/>
              <w:rPr>
                <w:spacing w:val="-2"/>
                <w:sz w:val="21"/>
                <w:szCs w:val="21"/>
              </w:rPr>
            </w:pPr>
            <w:r>
              <w:rPr>
                <w:rFonts w:hint="eastAsia"/>
                <w:spacing w:val="-2"/>
                <w:sz w:val="21"/>
                <w:szCs w:val="21"/>
              </w:rPr>
              <w:t>依据工作台账</w:t>
            </w:r>
          </w:p>
        </w:tc>
      </w:tr>
      <w:tr w:rsidR="00141111" w:rsidTr="00374276">
        <w:trPr>
          <w:trHeight w:hRule="exact" w:val="2835"/>
          <w:jc w:val="center"/>
        </w:trPr>
        <w:tc>
          <w:tcPr>
            <w:tcW w:w="731" w:type="dxa"/>
            <w:vMerge/>
          </w:tcPr>
          <w:p w:rsidR="00141111" w:rsidRDefault="00141111" w:rsidP="00374276">
            <w:pPr>
              <w:rPr>
                <w:rFonts w:ascii="宋体" w:hAnsi="宋体" w:cs="仿宋"/>
                <w:color w:val="36363D"/>
                <w:szCs w:val="21"/>
              </w:rPr>
            </w:pPr>
          </w:p>
        </w:tc>
        <w:tc>
          <w:tcPr>
            <w:tcW w:w="2118" w:type="dxa"/>
            <w:vMerge/>
          </w:tcPr>
          <w:p w:rsidR="00141111" w:rsidRDefault="00141111" w:rsidP="00374276">
            <w:pPr>
              <w:rPr>
                <w:rFonts w:ascii="宋体" w:hAnsi="宋体" w:cs="仿宋"/>
                <w:color w:val="36363D"/>
                <w:szCs w:val="21"/>
              </w:rPr>
            </w:pPr>
          </w:p>
        </w:tc>
        <w:tc>
          <w:tcPr>
            <w:tcW w:w="2323"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（4）配合或者协助学校正确引导、合理解决学生权益问题。（8分）</w:t>
            </w:r>
          </w:p>
        </w:tc>
        <w:tc>
          <w:tcPr>
            <w:tcW w:w="2904" w:type="dxa"/>
            <w:vAlign w:val="center"/>
          </w:tcPr>
          <w:p w:rsidR="00141111" w:rsidRDefault="00141111" w:rsidP="00374276">
            <w:pPr>
              <w:pStyle w:val="TableParagraph"/>
              <w:autoSpaceDE/>
              <w:autoSpaceDN/>
              <w:jc w:val="both"/>
              <w:rPr>
                <w:spacing w:val="-2"/>
                <w:sz w:val="21"/>
                <w:szCs w:val="21"/>
              </w:rPr>
            </w:pPr>
            <w:r>
              <w:rPr>
                <w:rFonts w:hint="eastAsia"/>
                <w:spacing w:val="-2"/>
                <w:sz w:val="21"/>
                <w:szCs w:val="21"/>
              </w:rPr>
              <w:t xml:space="preserve">1.及时反馈学生权益服务问题的处理情况。（由校学生会权益部评议，以对学院走访调查为标准，一级3分，二级2分，三级1分） </w:t>
            </w:r>
          </w:p>
          <w:p w:rsidR="00141111" w:rsidRDefault="00141111" w:rsidP="00374276">
            <w:pPr>
              <w:pStyle w:val="TableParagraph"/>
              <w:autoSpaceDE/>
              <w:autoSpaceDN/>
              <w:jc w:val="both"/>
              <w:rPr>
                <w:spacing w:val="-2"/>
                <w:sz w:val="21"/>
                <w:szCs w:val="21"/>
              </w:rPr>
            </w:pPr>
            <w:r>
              <w:rPr>
                <w:rFonts w:hint="eastAsia"/>
                <w:spacing w:val="-2"/>
                <w:sz w:val="21"/>
                <w:szCs w:val="21"/>
              </w:rPr>
              <w:t>2.配合有关部门或协助校学生会解决本学院学生反映的权益问题并得到妥善解决。（0.5分/次，最高计5分）</w:t>
            </w:r>
          </w:p>
        </w:tc>
        <w:tc>
          <w:tcPr>
            <w:tcW w:w="2032" w:type="dxa"/>
            <w:vAlign w:val="center"/>
          </w:tcPr>
          <w:p w:rsidR="00141111" w:rsidRDefault="00141111" w:rsidP="00374276">
            <w:pPr>
              <w:pStyle w:val="TableParagraph"/>
              <w:spacing w:line="278" w:lineRule="auto"/>
              <w:jc w:val="center"/>
              <w:rPr>
                <w:spacing w:val="-2"/>
                <w:sz w:val="21"/>
                <w:szCs w:val="21"/>
              </w:rPr>
            </w:pPr>
            <w:r>
              <w:rPr>
                <w:rFonts w:hint="eastAsia"/>
                <w:spacing w:val="-2"/>
                <w:sz w:val="21"/>
                <w:szCs w:val="21"/>
              </w:rPr>
              <w:t>1.依据工作台账</w:t>
            </w:r>
          </w:p>
          <w:p w:rsidR="00141111" w:rsidRDefault="00141111" w:rsidP="00374276">
            <w:pPr>
              <w:pStyle w:val="TableParagraph"/>
              <w:spacing w:line="278" w:lineRule="auto"/>
              <w:jc w:val="center"/>
              <w:rPr>
                <w:spacing w:val="-2"/>
                <w:sz w:val="21"/>
                <w:szCs w:val="21"/>
              </w:rPr>
            </w:pPr>
            <w:r>
              <w:rPr>
                <w:rFonts w:hint="eastAsia"/>
                <w:spacing w:val="-2"/>
                <w:sz w:val="21"/>
                <w:szCs w:val="21"/>
              </w:rPr>
              <w:t>2.提供</w:t>
            </w:r>
            <w:r>
              <w:rPr>
                <w:rFonts w:hint="eastAsia"/>
                <w:kern w:val="2"/>
                <w:sz w:val="21"/>
                <w:szCs w:val="21"/>
              </w:rPr>
              <w:t>印证材料</w:t>
            </w:r>
          </w:p>
        </w:tc>
      </w:tr>
    </w:tbl>
    <w:p w:rsidR="00141111" w:rsidRDefault="00141111" w:rsidP="00141111">
      <w:pPr>
        <w:spacing w:afterLines="50" w:after="156"/>
        <w:jc w:val="center"/>
      </w:pPr>
      <w:r>
        <w:rPr>
          <w:rFonts w:ascii="仿宋_GB2312" w:eastAsia="仿宋_GB2312" w:hint="eastAsia"/>
          <w:b/>
          <w:bCs/>
          <w:color w:val="000000"/>
          <w:sz w:val="24"/>
          <w:szCs w:val="24"/>
        </w:rPr>
        <w:t>注：</w:t>
      </w:r>
      <w:r>
        <w:rPr>
          <w:rFonts w:ascii="仿宋_GB2312" w:eastAsia="仿宋_GB2312" w:hint="eastAsia"/>
          <w:color w:val="000000"/>
          <w:sz w:val="24"/>
          <w:szCs w:val="24"/>
        </w:rPr>
        <w:t>所有参评材料需真实有效，一经查出有不实之处直接取消其参选资格。</w:t>
      </w:r>
    </w:p>
    <w:p w:rsidR="00700EE4" w:rsidRPr="00141111" w:rsidRDefault="00700EE4"/>
    <w:sectPr w:rsidR="00700EE4" w:rsidRPr="00141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80"/>
    <w:rsid w:val="00141111"/>
    <w:rsid w:val="00700EE4"/>
    <w:rsid w:val="00C0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75019-CD0D-4DE1-BB55-CE9CD76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1111"/>
    <w:pPr>
      <w:autoSpaceDE w:val="0"/>
      <w:autoSpaceDN w:val="0"/>
      <w:ind w:left="780"/>
      <w:jc w:val="left"/>
    </w:pPr>
    <w:rPr>
      <w:rFonts w:ascii="方正仿宋_GBK" w:eastAsia="方正仿宋_GBK" w:hAnsi="方正仿宋_GBK" w:cs="方正仿宋_GBK"/>
      <w:kern w:val="0"/>
      <w:sz w:val="32"/>
      <w:szCs w:val="32"/>
    </w:rPr>
  </w:style>
  <w:style w:type="character" w:customStyle="1" w:styleId="a4">
    <w:name w:val="正文文本 字符"/>
    <w:basedOn w:val="a0"/>
    <w:link w:val="a3"/>
    <w:uiPriority w:val="1"/>
    <w:rsid w:val="00141111"/>
    <w:rPr>
      <w:rFonts w:ascii="方正仿宋_GBK" w:eastAsia="方正仿宋_GBK" w:hAnsi="方正仿宋_GBK" w:cs="方正仿宋_GBK"/>
      <w:kern w:val="0"/>
      <w:sz w:val="32"/>
      <w:szCs w:val="32"/>
    </w:rPr>
  </w:style>
  <w:style w:type="table" w:styleId="a5">
    <w:name w:val="Table Grid"/>
    <w:basedOn w:val="a1"/>
    <w:uiPriority w:val="99"/>
    <w:qFormat/>
    <w:rsid w:val="00141111"/>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41111"/>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lpch</dc:creator>
  <cp:keywords/>
  <dc:description/>
  <cp:lastModifiedBy>lpch</cp:lastModifiedBy>
  <cp:revision>2</cp:revision>
  <dcterms:created xsi:type="dcterms:W3CDTF">2025-05-15T08:30:00Z</dcterms:created>
  <dcterms:modified xsi:type="dcterms:W3CDTF">2025-05-15T08:30:00Z</dcterms:modified>
</cp:coreProperties>
</file>